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8AB387" w14:textId="02E7642B" w:rsidR="006671CA" w:rsidRPr="006E65A1" w:rsidRDefault="006671CA" w:rsidP="006671CA">
      <w:pPr>
        <w:pStyle w:val="Header"/>
        <w:tabs>
          <w:tab w:val="left" w:pos="2410"/>
        </w:tabs>
        <w:rPr>
          <w:noProof w:val="0"/>
          <w:sz w:val="24"/>
          <w:szCs w:val="24"/>
          <w:lang w:val="en-US"/>
        </w:rPr>
      </w:pPr>
      <w:r w:rsidRPr="006E65A1">
        <w:rPr>
          <w:noProof w:val="0"/>
          <w:sz w:val="24"/>
          <w:szCs w:val="24"/>
          <w:lang w:val="en-US"/>
        </w:rPr>
        <w:t>3GPP TSG-WG3 Meeting #10</w:t>
      </w:r>
      <w:r>
        <w:rPr>
          <w:noProof w:val="0"/>
          <w:sz w:val="24"/>
          <w:szCs w:val="24"/>
          <w:lang w:val="en-US"/>
        </w:rPr>
        <w:t>5bis</w:t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 w:rsidRPr="006E65A1"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 w:rsidRPr="005579C5">
        <w:rPr>
          <w:noProof w:val="0"/>
          <w:sz w:val="24"/>
          <w:szCs w:val="24"/>
          <w:lang w:val="en-US"/>
        </w:rPr>
        <w:t>R3-</w:t>
      </w:r>
      <w:r w:rsidRPr="00272203">
        <w:rPr>
          <w:noProof w:val="0"/>
          <w:sz w:val="24"/>
          <w:szCs w:val="24"/>
          <w:lang w:val="en-US"/>
        </w:rPr>
        <w:t>19</w:t>
      </w:r>
      <w:r>
        <w:rPr>
          <w:noProof w:val="0"/>
          <w:sz w:val="24"/>
          <w:szCs w:val="24"/>
          <w:lang w:val="en-US"/>
        </w:rPr>
        <w:t>5530</w:t>
      </w:r>
    </w:p>
    <w:p w14:paraId="53160B52" w14:textId="77777777" w:rsidR="006671CA" w:rsidRPr="00676AE9" w:rsidRDefault="006671CA" w:rsidP="006671CA">
      <w:pPr>
        <w:pStyle w:val="Header"/>
        <w:tabs>
          <w:tab w:val="left" w:pos="2410"/>
        </w:tabs>
        <w:rPr>
          <w:noProof w:val="0"/>
          <w:sz w:val="24"/>
          <w:szCs w:val="24"/>
          <w:lang w:val="en-US"/>
        </w:rPr>
      </w:pPr>
      <w:r w:rsidRPr="007A4845">
        <w:rPr>
          <w:noProof w:val="0"/>
          <w:sz w:val="24"/>
          <w:szCs w:val="24"/>
          <w:lang w:val="en-US"/>
        </w:rPr>
        <w:t>Chongqing, China, 14-18 October 2019</w:t>
      </w:r>
      <w:r w:rsidRPr="005B3427">
        <w:rPr>
          <w:noProof w:val="0"/>
          <w:sz w:val="24"/>
          <w:szCs w:val="24"/>
          <w:lang w:val="en-US"/>
        </w:rPr>
        <w:t xml:space="preserve">  </w:t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E7E428F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21FF0">
        <w:rPr>
          <w:rFonts w:cs="Arial"/>
          <w:b/>
          <w:bCs/>
          <w:sz w:val="24"/>
        </w:rPr>
        <w:t>13.2.1.2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6523F851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21FF0">
        <w:rPr>
          <w:rFonts w:ascii="Arial" w:hAnsi="Arial" w:cs="Arial"/>
          <w:b/>
          <w:bCs/>
          <w:sz w:val="24"/>
        </w:rPr>
        <w:t xml:space="preserve">Discussion on </w:t>
      </w:r>
      <w:r w:rsidR="00362255">
        <w:rPr>
          <w:rFonts w:ascii="Arial" w:hAnsi="Arial" w:cs="Arial"/>
          <w:b/>
          <w:bCs/>
          <w:sz w:val="24"/>
        </w:rPr>
        <w:t xml:space="preserve">DL </w:t>
      </w:r>
      <w:bookmarkStart w:id="0" w:name="_GoBack"/>
      <w:bookmarkEnd w:id="0"/>
      <w:r w:rsidR="00521FF0">
        <w:rPr>
          <w:rFonts w:ascii="Arial" w:hAnsi="Arial" w:cs="Arial"/>
          <w:b/>
          <w:bCs/>
          <w:sz w:val="24"/>
        </w:rPr>
        <w:t>Forwarding Table Configuration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484C21D1" w:rsidR="007F2E08" w:rsidRPr="006E13D1" w:rsidRDefault="006671CA" w:rsidP="006671CA">
      <w:pPr>
        <w:spacing w:after="0"/>
      </w:pPr>
      <w:r>
        <w:t>The previous meeting did not conclude on whether uses UE-Associated signalling, or non-UE-Associated signalling to configure the DL Forwarding table. This contribution provides the further analysis.</w:t>
      </w:r>
    </w:p>
    <w:p w14:paraId="2BBFF540" w14:textId="1B12D848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0502DC">
        <w:t>Discussion</w:t>
      </w:r>
    </w:p>
    <w:p w14:paraId="2D1361B2" w14:textId="77777777" w:rsidR="000502DC" w:rsidRDefault="000502DC" w:rsidP="000502DC">
      <w:r w:rsidRPr="00597841">
        <w:t>Regrading on how to con</w:t>
      </w:r>
      <w:r>
        <w:t xml:space="preserve">figure the forwarding table in the Donor-DU and IAB node, there may be two options. Let’s consider following IAB, and consider the DL forwarding table in IAB11 as an example, </w:t>
      </w:r>
    </w:p>
    <w:p w14:paraId="5B97BA23" w14:textId="32C7D244" w:rsidR="000502DC" w:rsidRDefault="00BE6831" w:rsidP="000502DC">
      <w:pPr>
        <w:jc w:val="center"/>
      </w:pPr>
      <w:r>
        <w:object w:dxaOrig="8841" w:dyaOrig="4971" w14:anchorId="6C05BA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1pt;height:248.65pt" o:ole="">
            <v:imagedata r:id="rId12" o:title=""/>
          </v:shape>
          <o:OLEObject Type="Embed" ProgID="Visio.Drawing.15" ShapeID="_x0000_i1025" DrawAspect="Content" ObjectID="_1631716530" r:id="rId13"/>
        </w:object>
      </w:r>
    </w:p>
    <w:p w14:paraId="66CCADB3" w14:textId="77777777" w:rsidR="000502DC" w:rsidRPr="005C64DC" w:rsidRDefault="000502DC" w:rsidP="000502DC">
      <w:pPr>
        <w:pStyle w:val="ListParagraph"/>
        <w:ind w:left="360"/>
        <w:jc w:val="center"/>
      </w:pPr>
      <w:bookmarkStart w:id="1" w:name="_Hlk7539041"/>
      <w:r w:rsidRPr="005C64DC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 w:rsidRPr="005C64DC">
        <w:t xml:space="preserve">: </w:t>
      </w:r>
      <w:r>
        <w:t>multiple-hop example</w:t>
      </w:r>
    </w:p>
    <w:bookmarkEnd w:id="1"/>
    <w:p w14:paraId="553095D3" w14:textId="77777777" w:rsidR="000502DC" w:rsidRDefault="000502DC" w:rsidP="000502DC">
      <w:pPr>
        <w:pStyle w:val="ListParagraph"/>
        <w:numPr>
          <w:ilvl w:val="0"/>
          <w:numId w:val="10"/>
        </w:numPr>
      </w:pPr>
      <w:r>
        <w:t>Option 1: the forwarding table is considered as part the context of the IAB-MT’s serving DU</w:t>
      </w:r>
    </w:p>
    <w:p w14:paraId="43F0ABC6" w14:textId="77777777" w:rsidR="000502DC" w:rsidRDefault="000502DC" w:rsidP="000502DC">
      <w:pPr>
        <w:pStyle w:val="ListParagraph"/>
        <w:ind w:left="410"/>
      </w:pPr>
      <w:r>
        <w:t>For example, the forwarding table using IAB21 as the next node is considering as the context of IAB21-MT’s serving DU (i.e. IAB11-DU). IAB11-DU maintains one forwarding table with entries using its child IABs as next node, e.g. {[</w:t>
      </w:r>
      <w:proofErr w:type="spellStart"/>
      <w:r>
        <w:t>dest</w:t>
      </w:r>
      <w:proofErr w:type="spellEnd"/>
      <w:r>
        <w:t>=IAB31, next hop=IAB21]; [</w:t>
      </w:r>
      <w:proofErr w:type="spellStart"/>
      <w:r>
        <w:t>dest</w:t>
      </w:r>
      <w:proofErr w:type="spellEnd"/>
      <w:r>
        <w:t>=IAB32, next hop=IAB21], [</w:t>
      </w:r>
      <w:proofErr w:type="spellStart"/>
      <w:r>
        <w:t>dest</w:t>
      </w:r>
      <w:proofErr w:type="spellEnd"/>
      <w:r>
        <w:t>=IAB31, next hop=IAB22]}</w:t>
      </w:r>
    </w:p>
    <w:p w14:paraId="02FAA8E5" w14:textId="77777777" w:rsidR="000502DC" w:rsidRDefault="000502DC" w:rsidP="000502DC">
      <w:pPr>
        <w:pStyle w:val="ListParagraph"/>
        <w:ind w:left="410"/>
      </w:pPr>
      <w:r>
        <w:t xml:space="preserve">In this option, Donor-CU can use the non-UE-associated F1AP procedure to manage the forwarding table. </w:t>
      </w:r>
    </w:p>
    <w:p w14:paraId="652E0420" w14:textId="77777777" w:rsidR="000502DC" w:rsidRDefault="000502DC" w:rsidP="000502DC">
      <w:pPr>
        <w:pStyle w:val="ListParagraph"/>
        <w:ind w:left="410"/>
      </w:pPr>
    </w:p>
    <w:p w14:paraId="31611C8A" w14:textId="77777777" w:rsidR="000502DC" w:rsidRDefault="000502DC" w:rsidP="000502DC">
      <w:pPr>
        <w:pStyle w:val="ListParagraph"/>
        <w:numPr>
          <w:ilvl w:val="0"/>
          <w:numId w:val="10"/>
        </w:numPr>
      </w:pPr>
      <w:r>
        <w:t xml:space="preserve">Option 2: the forwarding table is considered as part of the IAB-MT’s context in </w:t>
      </w:r>
      <w:proofErr w:type="gramStart"/>
      <w:r>
        <w:t>its</w:t>
      </w:r>
      <w:proofErr w:type="gramEnd"/>
      <w:r>
        <w:t xml:space="preserve"> serving DU, i.e. IAB-DU or Donor-DU</w:t>
      </w:r>
    </w:p>
    <w:p w14:paraId="7590AD9A" w14:textId="77777777" w:rsidR="000502DC" w:rsidRDefault="000502DC" w:rsidP="000502DC">
      <w:pPr>
        <w:pStyle w:val="ListParagraph"/>
        <w:ind w:left="410"/>
      </w:pPr>
      <w:r>
        <w:t>For example, in IAB11-DU, the IAB21-MT’s context has a forwarding table {[</w:t>
      </w:r>
      <w:proofErr w:type="spellStart"/>
      <w:r>
        <w:t>dest</w:t>
      </w:r>
      <w:proofErr w:type="spellEnd"/>
      <w:r>
        <w:t>=IAB31, next hop=IAB21]; [</w:t>
      </w:r>
      <w:proofErr w:type="spellStart"/>
      <w:r>
        <w:t>dest</w:t>
      </w:r>
      <w:proofErr w:type="spellEnd"/>
      <w:r>
        <w:t xml:space="preserve">=IAB32, next hop=IAB21]}. This means any forwarding using IAB21 as the next node will be part of IAB21-MT’s context in the IAB21-MT’s serving DU (i.e. IAB11-DU). In IAB11-DU, there are multiple forwarding tables, i.e. one per child IAB node. </w:t>
      </w:r>
    </w:p>
    <w:p w14:paraId="4A60D41F" w14:textId="77777777" w:rsidR="000502DC" w:rsidRDefault="000502DC" w:rsidP="000502DC">
      <w:pPr>
        <w:pStyle w:val="ListParagraph"/>
        <w:ind w:left="410"/>
      </w:pPr>
      <w:r>
        <w:t xml:space="preserve">In this option, Donor-CU uses UE-associated F1AP procedure, e.g. F1AP UE Context management procedure, to manage the forwarding table. </w:t>
      </w:r>
    </w:p>
    <w:p w14:paraId="7FB687BE" w14:textId="77777777" w:rsidR="000502DC" w:rsidRDefault="000502DC" w:rsidP="000502DC">
      <w:pPr>
        <w:pStyle w:val="ListParagraph"/>
        <w:ind w:left="410"/>
      </w:pPr>
    </w:p>
    <w:p w14:paraId="1882861A" w14:textId="36DA5571" w:rsidR="000502DC" w:rsidRDefault="000502DC" w:rsidP="000502DC">
      <w:pPr>
        <w:pStyle w:val="ListParagraph"/>
        <w:ind w:left="410"/>
      </w:pPr>
      <w:r>
        <w:lastRenderedPageBreak/>
        <w:t xml:space="preserve">Both options work for DL. But in some scenarios, e.g. with redundant path, the Donor-CU may need to initiate 1 more additional </w:t>
      </w:r>
      <w:proofErr w:type="gramStart"/>
      <w:r>
        <w:t>procedures</w:t>
      </w:r>
      <w:proofErr w:type="gramEnd"/>
      <w:r>
        <w:t xml:space="preserve"> in Option 2 than Option 1. For example, when configure the </w:t>
      </w:r>
      <w:proofErr w:type="spellStart"/>
      <w:r>
        <w:t>dest</w:t>
      </w:r>
      <w:proofErr w:type="spellEnd"/>
      <w:r>
        <w:t>=IAB31 in IAB11, CU initiates one UE-associated procedure to configure the forwarding table {[</w:t>
      </w:r>
      <w:proofErr w:type="spellStart"/>
      <w:r>
        <w:t>dest</w:t>
      </w:r>
      <w:proofErr w:type="spellEnd"/>
      <w:r>
        <w:t>=IAB31, next hop=IAB21</w:t>
      </w:r>
      <w:proofErr w:type="gramStart"/>
      <w:r>
        <w:t>]}for</w:t>
      </w:r>
      <w:proofErr w:type="gramEnd"/>
      <w:r>
        <w:t xml:space="preserve"> IAB21-MT’s context. The CU initiates another UE-associated procedure to configure the forwarding table [</w:t>
      </w:r>
      <w:proofErr w:type="spellStart"/>
      <w:r>
        <w:t>dest</w:t>
      </w:r>
      <w:proofErr w:type="spellEnd"/>
      <w:r>
        <w:t xml:space="preserve">=IAB31, next hop=IAB22] for IAB22-MT’s context. </w:t>
      </w:r>
    </w:p>
    <w:p w14:paraId="710CA89D" w14:textId="0DAD83B4" w:rsidR="00BE6831" w:rsidRDefault="00BE6831" w:rsidP="000502DC">
      <w:pPr>
        <w:pStyle w:val="ListParagraph"/>
        <w:ind w:left="410"/>
      </w:pPr>
    </w:p>
    <w:p w14:paraId="6DCF142C" w14:textId="131CC4C7" w:rsidR="000364C9" w:rsidRDefault="00BE6831" w:rsidP="00F35C57">
      <w:pPr>
        <w:pStyle w:val="ListParagraph"/>
        <w:ind w:left="410"/>
      </w:pPr>
      <w:r>
        <w:t>In addition, Option 1 is efficient in case of the Topology Adaptation. In above example, when the IAB32 performs a Topology Adaptation, i.e. the connection is changed from IAB21 to IAB22</w:t>
      </w:r>
      <w:r w:rsidR="005F455F">
        <w:t>, t</w:t>
      </w:r>
      <w:r>
        <w:t xml:space="preserve">he Donor-CU only initiates one F1AP procedure to IAB11, to change the </w:t>
      </w:r>
      <w:r w:rsidR="00397E2D">
        <w:t>forwarding entry [</w:t>
      </w:r>
      <w:proofErr w:type="spellStart"/>
      <w:r w:rsidR="00397E2D">
        <w:t>dest</w:t>
      </w:r>
      <w:proofErr w:type="spellEnd"/>
      <w:r w:rsidR="00397E2D">
        <w:t>=IAB32, next hop=IAB21] to [</w:t>
      </w:r>
      <w:proofErr w:type="spellStart"/>
      <w:r w:rsidR="00397E2D">
        <w:t>dest</w:t>
      </w:r>
      <w:proofErr w:type="spellEnd"/>
      <w:r w:rsidR="00397E2D">
        <w:t>=IAB32, next hop=IAB22].</w:t>
      </w:r>
      <w:r w:rsidR="00F35C57">
        <w:t xml:space="preserve">  </w:t>
      </w:r>
      <w:r>
        <w:t xml:space="preserve">While in Option 2, the Donor-CU need to initiate </w:t>
      </w:r>
      <w:r w:rsidR="00321B87">
        <w:t>2 F1AP procedures</w:t>
      </w:r>
      <w:r w:rsidR="002B0FBF">
        <w:t xml:space="preserve"> to IAB11</w:t>
      </w:r>
      <w:r w:rsidR="00321B87">
        <w:t>. 1) the 1</w:t>
      </w:r>
      <w:proofErr w:type="gramStart"/>
      <w:r w:rsidR="00321B87" w:rsidRPr="00321B87">
        <w:rPr>
          <w:vertAlign w:val="superscript"/>
        </w:rPr>
        <w:t>st</w:t>
      </w:r>
      <w:r w:rsidR="00321B87">
        <w:t xml:space="preserve"> </w:t>
      </w:r>
      <w:r>
        <w:t xml:space="preserve"> F</w:t>
      </w:r>
      <w:proofErr w:type="gramEnd"/>
      <w:r>
        <w:t xml:space="preserve">1AP procedure regarding to IAB21’s MT context, i.e. to remove the DL forwarding entry </w:t>
      </w:r>
      <w:r w:rsidR="008F3AB1">
        <w:t>[</w:t>
      </w:r>
      <w:proofErr w:type="spellStart"/>
      <w:r w:rsidR="008F3AB1">
        <w:t>dest</w:t>
      </w:r>
      <w:proofErr w:type="spellEnd"/>
      <w:r w:rsidR="008F3AB1">
        <w:t>=IAB32, next hop=IAB21]</w:t>
      </w:r>
      <w:r>
        <w:t xml:space="preserve">. </w:t>
      </w:r>
      <w:r w:rsidR="0032492C">
        <w:t xml:space="preserve">2) </w:t>
      </w:r>
      <w:r>
        <w:t xml:space="preserve">The Donor-CU initiate </w:t>
      </w:r>
      <w:r w:rsidR="005B4277">
        <w:t>the 2</w:t>
      </w:r>
      <w:r w:rsidR="005B4277" w:rsidRPr="005B4277">
        <w:rPr>
          <w:vertAlign w:val="superscript"/>
        </w:rPr>
        <w:t>nd</w:t>
      </w:r>
      <w:r w:rsidR="005B4277">
        <w:t xml:space="preserve"> </w:t>
      </w:r>
      <w:r>
        <w:t xml:space="preserve">F1AP procedure </w:t>
      </w:r>
      <w:r w:rsidR="008F3AB1">
        <w:t>regarding to IAB22’s MT context, i.e. to add the DL forwarding entry [</w:t>
      </w:r>
      <w:proofErr w:type="spellStart"/>
      <w:r w:rsidR="008F3AB1">
        <w:t>dest</w:t>
      </w:r>
      <w:proofErr w:type="spellEnd"/>
      <w:r w:rsidR="008F3AB1">
        <w:t>=IAB32, next hop=IAB22].</w:t>
      </w:r>
      <w:r w:rsidR="000364C9">
        <w:t xml:space="preserve"> </w:t>
      </w:r>
    </w:p>
    <w:p w14:paraId="7E1387AD" w14:textId="430B74E6" w:rsidR="000502DC" w:rsidRDefault="000502DC" w:rsidP="000A2EAF">
      <w:r>
        <w:t xml:space="preserve">In a summary, </w:t>
      </w:r>
      <w:r w:rsidR="000364C9">
        <w:t xml:space="preserve">both </w:t>
      </w:r>
      <w:proofErr w:type="gramStart"/>
      <w:r w:rsidR="000364C9">
        <w:t>options work</w:t>
      </w:r>
      <w:proofErr w:type="gramEnd"/>
      <w:r w:rsidR="000364C9">
        <w:t>. Option 1</w:t>
      </w:r>
      <w:r w:rsidR="000A2EAF">
        <w:t xml:space="preserve"> can save some signalling, and efficient in some scenarios. </w:t>
      </w:r>
      <w:proofErr w:type="gramStart"/>
      <w:r>
        <w:t>So</w:t>
      </w:r>
      <w:proofErr w:type="gramEnd"/>
      <w:r>
        <w:t xml:space="preserve"> we prefer to use non-UE-associated signalling. </w:t>
      </w:r>
    </w:p>
    <w:p w14:paraId="600AA059" w14:textId="438215F4" w:rsidR="000502DC" w:rsidRPr="002B2B64" w:rsidRDefault="000502DC" w:rsidP="000502DC">
      <w:pPr>
        <w:rPr>
          <w:b/>
        </w:rPr>
      </w:pPr>
      <w:r w:rsidRPr="002B2B64">
        <w:rPr>
          <w:b/>
        </w:rPr>
        <w:t>Prop</w:t>
      </w:r>
      <w:r>
        <w:rPr>
          <w:b/>
        </w:rPr>
        <w:t xml:space="preserve">osal </w:t>
      </w:r>
      <w:r w:rsidR="007D62DA">
        <w:rPr>
          <w:b/>
        </w:rPr>
        <w:t>1</w:t>
      </w:r>
      <w:r>
        <w:rPr>
          <w:b/>
        </w:rPr>
        <w:t xml:space="preserve">: use non-UE-associated F1AP signalling to configure the </w:t>
      </w:r>
      <w:r w:rsidR="007D62DA">
        <w:rPr>
          <w:b/>
        </w:rPr>
        <w:t xml:space="preserve">DL </w:t>
      </w:r>
      <w:r>
        <w:rPr>
          <w:b/>
        </w:rPr>
        <w:t xml:space="preserve">forwarding table. </w:t>
      </w:r>
    </w:p>
    <w:p w14:paraId="46D4A79B" w14:textId="77777777" w:rsidR="000502DC" w:rsidRDefault="000502DC" w:rsidP="00A209D6"/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6C60FFDC" w14:textId="52351F59" w:rsidR="00A209D6" w:rsidRPr="006E13D1" w:rsidRDefault="00F03404" w:rsidP="00A209D6">
      <w:r>
        <w:t>In this contribution configuration of</w:t>
      </w:r>
      <w:r w:rsidR="00FC47C3">
        <w:t xml:space="preserve"> DL forwarding table. Th</w:t>
      </w:r>
      <w:r>
        <w:t xml:space="preserve">e following proposals </w:t>
      </w:r>
      <w:r w:rsidR="001445DD">
        <w:t>are</w:t>
      </w:r>
      <w:r>
        <w:t xml:space="preserve"> made:</w:t>
      </w:r>
    </w:p>
    <w:p w14:paraId="10D4F783" w14:textId="77777777" w:rsidR="00FC47C3" w:rsidRPr="002B2B64" w:rsidRDefault="00FC47C3" w:rsidP="00FC47C3">
      <w:pPr>
        <w:rPr>
          <w:b/>
        </w:rPr>
      </w:pPr>
      <w:r w:rsidRPr="002B2B64">
        <w:rPr>
          <w:b/>
        </w:rPr>
        <w:t>Prop</w:t>
      </w:r>
      <w:r>
        <w:rPr>
          <w:b/>
        </w:rPr>
        <w:t xml:space="preserve">osal 1: use non-UE-associated F1AP signalling to configure the DL forwarding table. </w:t>
      </w:r>
    </w:p>
    <w:p w14:paraId="653EED19" w14:textId="77777777" w:rsidR="00A209D6" w:rsidRPr="00CD4C7B" w:rsidRDefault="00A209D6" w:rsidP="00A209D6"/>
    <w:p w14:paraId="4CD84C48" w14:textId="6C6AB431" w:rsidR="006B2A84" w:rsidRDefault="006B2A84" w:rsidP="006B2A84">
      <w:pPr>
        <w:pStyle w:val="Heading1"/>
      </w:pPr>
      <w:r>
        <w:t>References</w:t>
      </w:r>
    </w:p>
    <w:p w14:paraId="548FB21D" w14:textId="65367CE1" w:rsidR="006B2A84" w:rsidRPr="006B2A84" w:rsidRDefault="006B2A84" w:rsidP="006B2A84">
      <w:pPr>
        <w:rPr>
          <w:i/>
        </w:rPr>
      </w:pPr>
      <w:r>
        <w:t>[1]</w:t>
      </w:r>
      <w:r>
        <w:tab/>
      </w:r>
    </w:p>
    <w:p w14:paraId="35F222F4" w14:textId="77777777" w:rsidR="00080512" w:rsidRPr="00A209D6" w:rsidRDefault="00080512" w:rsidP="00A209D6"/>
    <w:sectPr w:rsidR="00080512" w:rsidRPr="00A209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B8678" w14:textId="77777777" w:rsidR="00AF77B1" w:rsidRDefault="00AF77B1">
      <w:r>
        <w:separator/>
      </w:r>
    </w:p>
  </w:endnote>
  <w:endnote w:type="continuationSeparator" w:id="0">
    <w:p w14:paraId="3726D744" w14:textId="77777777" w:rsidR="00AF77B1" w:rsidRDefault="00AF77B1">
      <w:r>
        <w:continuationSeparator/>
      </w:r>
    </w:p>
  </w:endnote>
  <w:endnote w:type="continuationNotice" w:id="1">
    <w:p w14:paraId="4152D5E0" w14:textId="77777777" w:rsidR="00AF77B1" w:rsidRDefault="00AF77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1445DD" w:rsidRDefault="00144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1445DD" w:rsidRDefault="00144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1445DD" w:rsidRDefault="00144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86212" w14:textId="77777777" w:rsidR="00AF77B1" w:rsidRDefault="00AF77B1">
      <w:r>
        <w:separator/>
      </w:r>
    </w:p>
  </w:footnote>
  <w:footnote w:type="continuationSeparator" w:id="0">
    <w:p w14:paraId="0B6E4BFA" w14:textId="77777777" w:rsidR="00AF77B1" w:rsidRDefault="00AF77B1">
      <w:r>
        <w:continuationSeparator/>
      </w:r>
    </w:p>
  </w:footnote>
  <w:footnote w:type="continuationNotice" w:id="1">
    <w:p w14:paraId="4C17C82D" w14:textId="77777777" w:rsidR="00AF77B1" w:rsidRDefault="00AF77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1445DD" w:rsidRDefault="001445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1445DD" w:rsidRDefault="001445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1445DD" w:rsidRDefault="001445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4E06EF"/>
    <w:multiLevelType w:val="hybridMultilevel"/>
    <w:tmpl w:val="35881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B73999"/>
    <w:multiLevelType w:val="hybridMultilevel"/>
    <w:tmpl w:val="BA805A80"/>
    <w:lvl w:ilvl="0" w:tplc="8646BA32">
      <w:start w:val="36"/>
      <w:numFmt w:val="bullet"/>
      <w:lvlText w:val=""/>
      <w:lvlJc w:val="left"/>
      <w:pPr>
        <w:ind w:left="4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364C9"/>
    <w:rsid w:val="00040095"/>
    <w:rsid w:val="000502DC"/>
    <w:rsid w:val="00066A41"/>
    <w:rsid w:val="00073C9C"/>
    <w:rsid w:val="00080512"/>
    <w:rsid w:val="00090468"/>
    <w:rsid w:val="00094568"/>
    <w:rsid w:val="000A2EAF"/>
    <w:rsid w:val="000B7BCF"/>
    <w:rsid w:val="000C522B"/>
    <w:rsid w:val="000D58AB"/>
    <w:rsid w:val="00111B2B"/>
    <w:rsid w:val="00112A31"/>
    <w:rsid w:val="00112F1A"/>
    <w:rsid w:val="001329F9"/>
    <w:rsid w:val="001445DD"/>
    <w:rsid w:val="00145075"/>
    <w:rsid w:val="001741A0"/>
    <w:rsid w:val="00175FA0"/>
    <w:rsid w:val="00194CD0"/>
    <w:rsid w:val="001B49C9"/>
    <w:rsid w:val="001C23F4"/>
    <w:rsid w:val="001C4F79"/>
    <w:rsid w:val="001F168B"/>
    <w:rsid w:val="001F7831"/>
    <w:rsid w:val="00204045"/>
    <w:rsid w:val="0020712B"/>
    <w:rsid w:val="00215D6C"/>
    <w:rsid w:val="0022606D"/>
    <w:rsid w:val="00231728"/>
    <w:rsid w:val="00250404"/>
    <w:rsid w:val="002610D8"/>
    <w:rsid w:val="002668A8"/>
    <w:rsid w:val="002747EC"/>
    <w:rsid w:val="002855BF"/>
    <w:rsid w:val="002A49BB"/>
    <w:rsid w:val="002B0FBF"/>
    <w:rsid w:val="002F0D22"/>
    <w:rsid w:val="002F0D55"/>
    <w:rsid w:val="003172DC"/>
    <w:rsid w:val="00321B87"/>
    <w:rsid w:val="0032492C"/>
    <w:rsid w:val="00325AE3"/>
    <w:rsid w:val="00326069"/>
    <w:rsid w:val="0035462D"/>
    <w:rsid w:val="00355E5C"/>
    <w:rsid w:val="00362255"/>
    <w:rsid w:val="00364B41"/>
    <w:rsid w:val="00383096"/>
    <w:rsid w:val="00397E2D"/>
    <w:rsid w:val="003A41EF"/>
    <w:rsid w:val="003B40AD"/>
    <w:rsid w:val="003C4E37"/>
    <w:rsid w:val="003E16BE"/>
    <w:rsid w:val="003F4E28"/>
    <w:rsid w:val="004006E8"/>
    <w:rsid w:val="00401855"/>
    <w:rsid w:val="00457F8B"/>
    <w:rsid w:val="00465587"/>
    <w:rsid w:val="00477455"/>
    <w:rsid w:val="004A1F7B"/>
    <w:rsid w:val="004C44D2"/>
    <w:rsid w:val="004D3578"/>
    <w:rsid w:val="004D380D"/>
    <w:rsid w:val="004E213A"/>
    <w:rsid w:val="005029BA"/>
    <w:rsid w:val="00503171"/>
    <w:rsid w:val="00506C28"/>
    <w:rsid w:val="00521FF0"/>
    <w:rsid w:val="0053039F"/>
    <w:rsid w:val="00534DA0"/>
    <w:rsid w:val="00543E6C"/>
    <w:rsid w:val="00565087"/>
    <w:rsid w:val="0056573F"/>
    <w:rsid w:val="00576426"/>
    <w:rsid w:val="005770C8"/>
    <w:rsid w:val="00587489"/>
    <w:rsid w:val="005B4277"/>
    <w:rsid w:val="005F455F"/>
    <w:rsid w:val="00611566"/>
    <w:rsid w:val="00646D99"/>
    <w:rsid w:val="006505C6"/>
    <w:rsid w:val="00656910"/>
    <w:rsid w:val="006574C0"/>
    <w:rsid w:val="006671CA"/>
    <w:rsid w:val="006B2A84"/>
    <w:rsid w:val="006B3423"/>
    <w:rsid w:val="006B49F0"/>
    <w:rsid w:val="006C66D8"/>
    <w:rsid w:val="006C6EC5"/>
    <w:rsid w:val="006D1E24"/>
    <w:rsid w:val="006D5FCC"/>
    <w:rsid w:val="006E1417"/>
    <w:rsid w:val="006E4194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75099"/>
    <w:rsid w:val="00781F0F"/>
    <w:rsid w:val="0078727C"/>
    <w:rsid w:val="0079049D"/>
    <w:rsid w:val="00793DC5"/>
    <w:rsid w:val="007B18D8"/>
    <w:rsid w:val="007C095F"/>
    <w:rsid w:val="007C2DD0"/>
    <w:rsid w:val="007C5C9E"/>
    <w:rsid w:val="007C73B5"/>
    <w:rsid w:val="007D62DA"/>
    <w:rsid w:val="007F2E08"/>
    <w:rsid w:val="008028A4"/>
    <w:rsid w:val="00813245"/>
    <w:rsid w:val="00840DE0"/>
    <w:rsid w:val="008563B6"/>
    <w:rsid w:val="0086354A"/>
    <w:rsid w:val="008768CA"/>
    <w:rsid w:val="00877EF9"/>
    <w:rsid w:val="00880559"/>
    <w:rsid w:val="008B5306"/>
    <w:rsid w:val="008C3057"/>
    <w:rsid w:val="008D2E4D"/>
    <w:rsid w:val="008F396F"/>
    <w:rsid w:val="008F3AB1"/>
    <w:rsid w:val="0090271F"/>
    <w:rsid w:val="00902DB9"/>
    <w:rsid w:val="0090466A"/>
    <w:rsid w:val="00923655"/>
    <w:rsid w:val="00936071"/>
    <w:rsid w:val="00940212"/>
    <w:rsid w:val="00942EC2"/>
    <w:rsid w:val="00960FAE"/>
    <w:rsid w:val="00961B32"/>
    <w:rsid w:val="00962509"/>
    <w:rsid w:val="009705BD"/>
    <w:rsid w:val="00970DB3"/>
    <w:rsid w:val="00974BB0"/>
    <w:rsid w:val="00975BCD"/>
    <w:rsid w:val="009A0AF3"/>
    <w:rsid w:val="009B07CD"/>
    <w:rsid w:val="009B3710"/>
    <w:rsid w:val="009C19E9"/>
    <w:rsid w:val="009D74A6"/>
    <w:rsid w:val="00A10F02"/>
    <w:rsid w:val="00A204CA"/>
    <w:rsid w:val="00A209D6"/>
    <w:rsid w:val="00A51AAF"/>
    <w:rsid w:val="00A53724"/>
    <w:rsid w:val="00A54B2B"/>
    <w:rsid w:val="00A57B40"/>
    <w:rsid w:val="00A7048B"/>
    <w:rsid w:val="00A82346"/>
    <w:rsid w:val="00A9671C"/>
    <w:rsid w:val="00AA1553"/>
    <w:rsid w:val="00AF77B1"/>
    <w:rsid w:val="00B05380"/>
    <w:rsid w:val="00B05962"/>
    <w:rsid w:val="00B15449"/>
    <w:rsid w:val="00B16C2F"/>
    <w:rsid w:val="00B27303"/>
    <w:rsid w:val="00B47FD1"/>
    <w:rsid w:val="00B516BB"/>
    <w:rsid w:val="00B72295"/>
    <w:rsid w:val="00B73532"/>
    <w:rsid w:val="00B84DB2"/>
    <w:rsid w:val="00BC3555"/>
    <w:rsid w:val="00BE5799"/>
    <w:rsid w:val="00BE6831"/>
    <w:rsid w:val="00C10675"/>
    <w:rsid w:val="00C12B51"/>
    <w:rsid w:val="00C24650"/>
    <w:rsid w:val="00C25465"/>
    <w:rsid w:val="00C33079"/>
    <w:rsid w:val="00C731A4"/>
    <w:rsid w:val="00C83A13"/>
    <w:rsid w:val="00C9068C"/>
    <w:rsid w:val="00C92967"/>
    <w:rsid w:val="00CA3D0C"/>
    <w:rsid w:val="00CA654B"/>
    <w:rsid w:val="00CB72B8"/>
    <w:rsid w:val="00CD458C"/>
    <w:rsid w:val="00CD4C7B"/>
    <w:rsid w:val="00CD5156"/>
    <w:rsid w:val="00D1242B"/>
    <w:rsid w:val="00D17392"/>
    <w:rsid w:val="00D33914"/>
    <w:rsid w:val="00D33BE3"/>
    <w:rsid w:val="00D3792D"/>
    <w:rsid w:val="00D55E47"/>
    <w:rsid w:val="00D57DE4"/>
    <w:rsid w:val="00D62E19"/>
    <w:rsid w:val="00D67CD1"/>
    <w:rsid w:val="00D71015"/>
    <w:rsid w:val="00D738D6"/>
    <w:rsid w:val="00D80795"/>
    <w:rsid w:val="00D854BE"/>
    <w:rsid w:val="00D87E00"/>
    <w:rsid w:val="00D9134D"/>
    <w:rsid w:val="00D92732"/>
    <w:rsid w:val="00D96D11"/>
    <w:rsid w:val="00DA55D5"/>
    <w:rsid w:val="00DA7A03"/>
    <w:rsid w:val="00DB0DB8"/>
    <w:rsid w:val="00DB1818"/>
    <w:rsid w:val="00DC309B"/>
    <w:rsid w:val="00DC4DA2"/>
    <w:rsid w:val="00DC5261"/>
    <w:rsid w:val="00DE25D2"/>
    <w:rsid w:val="00DF6EC8"/>
    <w:rsid w:val="00E04F5F"/>
    <w:rsid w:val="00E12D9C"/>
    <w:rsid w:val="00E46C08"/>
    <w:rsid w:val="00E471CF"/>
    <w:rsid w:val="00E53D87"/>
    <w:rsid w:val="00E62835"/>
    <w:rsid w:val="00E71724"/>
    <w:rsid w:val="00E77645"/>
    <w:rsid w:val="00E83697"/>
    <w:rsid w:val="00E945CD"/>
    <w:rsid w:val="00EA66C9"/>
    <w:rsid w:val="00EC4A25"/>
    <w:rsid w:val="00EE1081"/>
    <w:rsid w:val="00F025A2"/>
    <w:rsid w:val="00F03404"/>
    <w:rsid w:val="00F036E9"/>
    <w:rsid w:val="00F07388"/>
    <w:rsid w:val="00F2026E"/>
    <w:rsid w:val="00F20726"/>
    <w:rsid w:val="00F2210A"/>
    <w:rsid w:val="00F35C57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A711A"/>
    <w:rsid w:val="00FB36FA"/>
    <w:rsid w:val="00FC0592"/>
    <w:rsid w:val="00FC1192"/>
    <w:rsid w:val="00FC47C3"/>
    <w:rsid w:val="00FE251B"/>
    <w:rsid w:val="00FF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D3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D3391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33914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rsid w:val="00D33914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D33914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D33914"/>
    <w:rPr>
      <w:rFonts w:ascii="Arial" w:eastAsia="MS Mincho" w:hAnsi="Arial"/>
      <w:b/>
      <w:szCs w:val="24"/>
      <w:lang w:val="x-none" w:eastAsia="x-none"/>
    </w:rPr>
  </w:style>
  <w:style w:type="character" w:styleId="CommentReference">
    <w:name w:val="annotation reference"/>
    <w:basedOn w:val="DefaultParagraphFont"/>
    <w:rsid w:val="001329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29F9"/>
  </w:style>
  <w:style w:type="character" w:customStyle="1" w:styleId="CommentTextChar">
    <w:name w:val="Comment Text Char"/>
    <w:basedOn w:val="DefaultParagraphFont"/>
    <w:link w:val="CommentText"/>
    <w:rsid w:val="001329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329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329F9"/>
    <w:rPr>
      <w:b/>
      <w:bCs/>
      <w:lang w:eastAsia="en-US"/>
    </w:rPr>
  </w:style>
  <w:style w:type="paragraph" w:styleId="ListParagraph">
    <w:name w:val="List Paragraph"/>
    <w:aliases w:val="Lista1,- Bullets,목록 단락,?? ??,?????,????,列出段落,リスト段落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FC0592"/>
    <w:pPr>
      <w:ind w:left="720"/>
      <w:contextualSpacing/>
    </w:pPr>
  </w:style>
  <w:style w:type="character" w:customStyle="1" w:styleId="ListParagraphChar">
    <w:name w:val="List Paragraph Char"/>
    <w:aliases w:val="Lista1 Char,- Bullets Char,목록 단락 Char,?? ?? Char,????? Char,???? Char,列出段落 Char,リスト段落 Char,1st level - Bullet List Paragraph Char,List Paragraph1 Char,Lettre d'introduction Char,Paragrafo elenco Char,Normal bullet 2 Char"/>
    <w:link w:val="ListParagraph"/>
    <w:uiPriority w:val="34"/>
    <w:qFormat/>
    <w:locked/>
    <w:rsid w:val="0058748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5AIRPNAIUNRU-859666464-5661</_dlc_DocId>
    <_dlc_DocIdUrl xmlns="71c5aaf6-e6ce-465b-b873-5148d2a4c105">
      <Url>https://nokia.sharepoint.com/sites/c5g/e2earch/_layouts/15/DocIdRedir.aspx?ID=5AIRPNAIUNRU-859666464-5661</Url>
      <Description>5AIRPNAIUNRU-859666464-5661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8E02D5DD-3F91-421F-A341-3BA185ADD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BFE041-4BB7-4F63-8FEC-55ABB3C87C3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40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3504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Xu, Steven 1. (NSB - CN/Beijing)</dc:creator>
  <cp:lastModifiedBy>Steven Xu</cp:lastModifiedBy>
  <cp:revision>20</cp:revision>
  <dcterms:created xsi:type="dcterms:W3CDTF">2019-10-04T05:37:00Z</dcterms:created>
  <dcterms:modified xsi:type="dcterms:W3CDTF">2019-10-04T09:38:00Z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1149ba6d-b3e9-41d2-a9ad-6c4651fb13df</vt:lpwstr>
  </property>
</Properties>
</file>